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Základní škola Konstantinovy Lázně, okres Tachov, příspěvková organizace  </w:t>
      </w:r>
      <w:r>
        <w:rPr/>
        <w:drawing>
          <wp:inline distT="0" distB="0" distL="0" distR="0">
            <wp:extent cx="394335" cy="66675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6" w:space="1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Školní 22, 349 52 Konstantinovy Lázně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</w:r>
    </w:p>
    <w:p>
      <w:pPr>
        <w:pStyle w:val="Normal"/>
        <w:tabs>
          <w:tab w:val="clear" w:pos="720"/>
          <w:tab w:val="left" w:pos="5680" w:leader="none"/>
          <w:tab w:val="left" w:pos="6248" w:leader="none"/>
        </w:tabs>
        <w:jc w:val="center"/>
        <w:rPr>
          <w:rFonts w:ascii="Times New Roman" w:hAnsi="Times New Roman"/>
          <w:b/>
          <w:b/>
          <w:i/>
          <w:i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 xml:space="preserve">Plán dalšího vzdělávání pedagogických pracovníků </w:t>
      </w:r>
    </w:p>
    <w:p>
      <w:pPr>
        <w:pStyle w:val="Normal"/>
        <w:tabs>
          <w:tab w:val="clear" w:pos="720"/>
          <w:tab w:val="left" w:pos="5680" w:leader="none"/>
          <w:tab w:val="left" w:pos="6248" w:leader="none"/>
        </w:tabs>
        <w:jc w:val="center"/>
        <w:rPr>
          <w:rFonts w:ascii="Times New Roman" w:hAnsi="Times New Roman"/>
          <w:b/>
          <w:b/>
          <w:i/>
          <w:i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>pro školní rok  202</w:t>
      </w: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>2</w:t>
      </w: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>/202</w:t>
      </w: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>3</w:t>
      </w:r>
    </w:p>
    <w:p>
      <w:pPr>
        <w:pStyle w:val="Normal"/>
        <w:tabs>
          <w:tab w:val="clear" w:pos="720"/>
          <w:tab w:val="left" w:pos="5680" w:leader="none"/>
          <w:tab w:val="left" w:pos="6248" w:leader="none"/>
        </w:tabs>
        <w:jc w:val="center"/>
        <w:rPr>
          <w:rFonts w:ascii="Times New Roman" w:hAnsi="Times New Roman"/>
          <w:b/>
          <w:b/>
          <w:i/>
          <w:i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</w:r>
    </w:p>
    <w:p>
      <w:pPr>
        <w:pStyle w:val="Normal"/>
        <w:rPr>
          <w:rFonts w:ascii="Times New Roman" w:hAnsi="Times New Roman"/>
          <w:b/>
          <w:b/>
          <w:i/>
          <w:i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b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Cíle DVPP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Součástí koncepce rozvoje školy je i strategický plán pro rozvoj lidských zdrojů, jež je postupně realizován prostřednictvím krátkodobých (ročních) plánů DVPP.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Dlouhodobou snahou naší školy je vytvářet dobré podmínky pro zajištění dalšího vzdělávání pedagogických pracovníků (DVPP), a to takové, které podporují vnitřní motivaci učitelů pro jejich profesní rozvoj, umožňují jejich vzdělávání, dovolují hledání nových pedagogických cest </w:t>
      </w:r>
      <w:r>
        <w:rPr>
          <w:rFonts w:ascii="Times New Roman" w:hAnsi="Times New Roman"/>
          <w:sz w:val="24"/>
          <w:szCs w:val="24"/>
          <w:lang w:val="cs-CZ"/>
        </w:rPr>
        <w:t>a postupů,</w:t>
      </w:r>
      <w:r>
        <w:rPr>
          <w:rFonts w:ascii="Times New Roman" w:hAnsi="Times New Roman"/>
          <w:sz w:val="24"/>
          <w:szCs w:val="24"/>
          <w:lang w:val="cs-CZ"/>
        </w:rPr>
        <w:t xml:space="preserve"> stimulují spolupráci učitelů a sdílení zkušeností.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Při výběru vzdělávacích akcí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 xml:space="preserve"> posuzujeme  následující</w:t>
      </w:r>
      <w:r>
        <w:rPr>
          <w:rFonts w:ascii="Times New Roman" w:hAnsi="Times New Roman"/>
          <w:sz w:val="24"/>
          <w:szCs w:val="24"/>
          <w:lang w:val="cs-CZ"/>
        </w:rPr>
        <w:t>: efektivita nákladů (nejen finance, ale i čas, suplování, dopravní dostupnost), potřebný obsah programu, vhodnost zařízení (místa), schopnosti uchazeče, schopnosti školitele, metodická vhodnost  a dále zvažujeme rovnováhu mezi osobními potřebami a možnostmi jedince, potřebami týmu, úkoly a cíli školy a její aktuální podmínky školy.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378" w:leader="none"/>
        </w:tabs>
        <w:ind w:left="720" w:hanging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Snahou školy je umožnit všem pracovníkům odborný růst zejména v těch oblastech, které přímo navazují na jejich odbornost, doplňují ji, rozvíjejí  a zvyšují, ale zároveň jsou i potřebné pro další rozvoj školy. 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>Jedná se například o odborné kurzy a semináře, které navazují na vysokoškolské studium, nebo které vedou své účastníky k  moderním metodám a formám vyučování. Zaměřujeme se i na oblast výchovného (kariérového) poradenství, práci s dětmi s S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>VP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 xml:space="preserve">, na jazykové vzdělávání a na integraci a inkluzi včetně uplatnění systému podpůrných opatření, spolupráce s asistenty pedagoga a vzdělávání žáků 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>s OMJ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 xml:space="preserve">. Pozornost věnujeme rovněž vzdělávání v oblasti školského managementu, více do hloubky chceme prohlubovat znalosti a dovednosti učitelů v oblasti enviromentálního vzdělávání, využití ICT ve výuce, 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>formativního hodnocení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 xml:space="preserve">, sebehodnocení  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 xml:space="preserve">a </w:t>
      </w:r>
      <w:r>
        <w:rPr>
          <w:rFonts w:ascii="Times New Roman" w:hAnsi="Times New Roman"/>
          <w:b w:val="false"/>
          <w:bCs w:val="false"/>
          <w:sz w:val="24"/>
          <w:szCs w:val="24"/>
          <w:lang w:val="cs-CZ"/>
        </w:rPr>
        <w:t>prevence rizikového chování žáků.</w:t>
      </w:r>
    </w:p>
    <w:p>
      <w:pPr>
        <w:pStyle w:val="Normal"/>
        <w:numPr>
          <w:ilvl w:val="0"/>
          <w:numId w:val="0"/>
        </w:numPr>
        <w:ind w:left="720" w:hanging="0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 </w:t>
      </w:r>
      <w:r>
        <w:rPr>
          <w:rFonts w:ascii="Times New Roman" w:hAnsi="Times New Roman"/>
          <w:bCs/>
          <w:sz w:val="24"/>
          <w:szCs w:val="24"/>
          <w:lang w:val="cs-CZ"/>
        </w:rPr>
        <w:t>další vzdělávání pedagogických pracovníků se považuje nejen absolvování kurzů a seminářů</w:t>
      </w:r>
      <w:r>
        <w:rPr>
          <w:rFonts w:ascii="Times New Roman" w:hAnsi="Times New Roman"/>
          <w:sz w:val="24"/>
          <w:szCs w:val="24"/>
          <w:lang w:val="cs-CZ"/>
        </w:rPr>
        <w:t>, ale například i samostudium odborné literatury, mentoring, inspirace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z práce kolegů (sdílení, shadowing), školní pedagogické dílny, náslechové a otevřené vyučovací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hodiny apod. Nově nabyté poznatky a dovednosti se uplatňují ve vlastním pedagogickém</w:t>
      </w:r>
      <w:r>
        <w:rPr>
          <w:rFonts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procesu </w:t>
      </w:r>
      <w:r>
        <w:rPr>
          <w:rFonts w:ascii="Times New Roman" w:hAnsi="Times New Roman"/>
          <w:sz w:val="24"/>
          <w:szCs w:val="24"/>
          <w:lang w:val="cs-CZ"/>
        </w:rPr>
        <w:t>a jsou sdíleny mezi pedagogy.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Finanční prostředky</w:t>
      </w:r>
      <w:r>
        <w:rPr>
          <w:rFonts w:ascii="Times New Roman" w:hAnsi="Times New Roman"/>
          <w:sz w:val="22"/>
          <w:szCs w:val="22"/>
          <w:lang w:val="cs-CZ"/>
        </w:rPr>
        <w:t xml:space="preserve"> určené na DVPP – 20 000,- Kč</w:t>
      </w:r>
    </w:p>
    <w:p>
      <w:pPr>
        <w:pStyle w:val="ListParagraph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Zdroj finančních prostředků</w:t>
      </w:r>
      <w:r>
        <w:rPr>
          <w:rFonts w:ascii="Times New Roman" w:hAnsi="Times New Roman"/>
          <w:sz w:val="22"/>
          <w:szCs w:val="22"/>
          <w:lang w:val="cs-CZ"/>
        </w:rPr>
        <w:t xml:space="preserve"> -  „Šablony“, ONIV, </w:t>
      </w:r>
      <w:r>
        <w:rPr>
          <w:rFonts w:ascii="Times New Roman" w:hAnsi="Times New Roman"/>
          <w:sz w:val="22"/>
          <w:szCs w:val="22"/>
          <w:lang w:val="cs-CZ"/>
        </w:rPr>
        <w:t xml:space="preserve">provozní </w:t>
      </w:r>
      <w:r>
        <w:rPr>
          <w:rFonts w:ascii="Times New Roman" w:hAnsi="Times New Roman"/>
          <w:sz w:val="22"/>
          <w:szCs w:val="22"/>
          <w:lang w:val="cs-CZ"/>
        </w:rPr>
        <w:t>rozpočet</w:t>
      </w:r>
    </w:p>
    <w:p>
      <w:pPr>
        <w:pStyle w:val="ListParagraph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</w:r>
    </w:p>
    <w:p>
      <w:pPr>
        <w:pStyle w:val="ListParagraph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Hlavní oblasti vzdělávání ve školním roce 202</w:t>
      </w:r>
      <w:r>
        <w:rPr>
          <w:rFonts w:ascii="Times New Roman" w:hAnsi="Times New Roman"/>
          <w:b/>
          <w:sz w:val="22"/>
          <w:szCs w:val="22"/>
          <w:lang w:val="cs-CZ"/>
        </w:rPr>
        <w:t>2</w:t>
      </w:r>
      <w:r>
        <w:rPr>
          <w:rFonts w:ascii="Times New Roman" w:hAnsi="Times New Roman"/>
          <w:b/>
          <w:sz w:val="22"/>
          <w:szCs w:val="22"/>
          <w:lang w:val="cs-CZ"/>
        </w:rPr>
        <w:t>/202</w:t>
      </w:r>
      <w:r>
        <w:rPr>
          <w:rFonts w:ascii="Times New Roman" w:hAnsi="Times New Roman"/>
          <w:b/>
          <w:sz w:val="22"/>
          <w:szCs w:val="22"/>
          <w:lang w:val="cs-CZ"/>
        </w:rPr>
        <w:t>3</w:t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cs-CZ"/>
        </w:rPr>
      </w:pPr>
      <w:r>
        <w:rPr/>
      </w:r>
    </w:p>
    <w:p>
      <w:pPr>
        <w:pStyle w:val="Default"/>
        <w:numPr>
          <w:ilvl w:val="0"/>
          <w:numId w:val="1"/>
        </w:numPr>
        <w:spacing w:before="0" w:after="240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>
        <w:rPr>
          <w:rFonts w:cs="Times New Roman" w:ascii="Times New Roman" w:hAnsi="Times New Roman"/>
          <w:sz w:val="22"/>
          <w:szCs w:val="22"/>
          <w:u w:val="single"/>
          <w:lang w:val="cs-CZ"/>
        </w:rPr>
        <w:t>pedagogická diagnostika a formativní hodnocení</w:t>
      </w:r>
    </w:p>
    <w:p>
      <w:pPr>
        <w:pStyle w:val="Default"/>
        <w:numPr>
          <w:ilvl w:val="0"/>
          <w:numId w:val="1"/>
        </w:numPr>
        <w:spacing w:before="0" w:after="240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bookmarkStart w:id="0" w:name="_GoBack"/>
      <w:bookmarkEnd w:id="0"/>
      <w:r>
        <w:rPr>
          <w:rFonts w:cs="Times New Roman" w:ascii="Times New Roman" w:hAnsi="Times New Roman"/>
          <w:sz w:val="22"/>
          <w:szCs w:val="22"/>
          <w:u w:val="single"/>
          <w:lang w:val="cs-CZ"/>
        </w:rPr>
        <w:t>prevence rizikového chování žáků</w:t>
      </w:r>
    </w:p>
    <w:p>
      <w:pPr>
        <w:pStyle w:val="Default"/>
        <w:numPr>
          <w:ilvl w:val="0"/>
          <w:numId w:val="1"/>
        </w:numPr>
        <w:spacing w:before="0" w:after="240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>
        <w:rPr>
          <w:rFonts w:cs="Times New Roman" w:ascii="Times New Roman" w:hAnsi="Times New Roman"/>
          <w:sz w:val="22"/>
          <w:szCs w:val="22"/>
          <w:u w:val="single"/>
          <w:lang w:val="cs-CZ"/>
        </w:rPr>
        <w:t xml:space="preserve">využití digitálních technologií </w:t>
      </w:r>
      <w:r>
        <w:rPr>
          <w:rFonts w:cs="Times New Roman" w:ascii="Times New Roman" w:hAnsi="Times New Roman"/>
          <w:sz w:val="22"/>
          <w:szCs w:val="22"/>
          <w:u w:val="single"/>
          <w:lang w:val="cs-CZ"/>
        </w:rPr>
        <w:t>v souvislosti s novou Infromatikou</w:t>
      </w:r>
    </w:p>
    <w:p>
      <w:pPr>
        <w:pStyle w:val="Default"/>
        <w:numPr>
          <w:ilvl w:val="0"/>
          <w:numId w:val="1"/>
        </w:numPr>
        <w:spacing w:before="0" w:after="240"/>
        <w:jc w:val="both"/>
        <w:rPr>
          <w:rFonts w:ascii="Times New Roman" w:hAnsi="Times New Roman" w:eastAsia="Calibri" w:cs="Times New Roman"/>
          <w:color w:val="000000"/>
          <w:kern w:val="0"/>
          <w:sz w:val="22"/>
          <w:szCs w:val="22"/>
          <w:u w:val="single"/>
          <w:lang w:val="cs-CZ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u w:val="single"/>
          <w:lang w:val="cs-CZ" w:eastAsia="en-US" w:bidi="ar-SA"/>
        </w:rPr>
        <w:t xml:space="preserve">nové metody a formy práce </w:t>
      </w: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u w:val="none"/>
          <w:lang w:val="cs-CZ" w:eastAsia="en-US" w:bidi="ar-SA"/>
        </w:rPr>
        <w:t xml:space="preserve">- badatelsky orientovaná výuka, </w:t>
      </w: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u w:val="none"/>
          <w:lang w:val="cs-CZ" w:eastAsia="en-US" w:bidi="ar-SA"/>
        </w:rPr>
        <w:t xml:space="preserve">responzivní výuka, formativní učení, projektová výuka, </w:t>
      </w: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u w:val="none"/>
          <w:lang w:val="cs-CZ" w:eastAsia="en-US" w:bidi="ar-SA"/>
        </w:rPr>
        <w:t xml:space="preserve">učení venku, centra </w:t>
      </w: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u w:val="none"/>
          <w:lang w:val="cs-CZ" w:eastAsia="en-US" w:bidi="ar-SA"/>
        </w:rPr>
        <w:t>učení</w:t>
      </w:r>
      <w:r>
        <w:rPr>
          <w:rFonts w:eastAsia="Calibri" w:cs="Times New Roman" w:ascii="Times New Roman" w:hAnsi="Times New Roman"/>
          <w:color w:val="000000"/>
          <w:kern w:val="0"/>
          <w:sz w:val="22"/>
          <w:szCs w:val="22"/>
          <w:u w:val="none"/>
          <w:lang w:val="cs-CZ" w:eastAsia="en-US" w:bidi="ar-SA"/>
        </w:rPr>
        <w:t>, metody CLIL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 xml:space="preserve">Způsoby vzdělávání – </w:t>
      </w:r>
      <w:r>
        <w:rPr>
          <w:rFonts w:ascii="Times New Roman" w:hAnsi="Times New Roman"/>
          <w:sz w:val="22"/>
          <w:szCs w:val="22"/>
          <w:lang w:val="cs-CZ"/>
        </w:rPr>
        <w:t xml:space="preserve">z časových a organizačních důvodů preferovat webináře a semináře v regionu </w:t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Konst. Lázně, 25.8.202</w:t>
      </w:r>
      <w:r>
        <w:rPr>
          <w:rFonts w:ascii="Times New Roman" w:hAnsi="Times New Roman"/>
          <w:sz w:val="22"/>
          <w:szCs w:val="22"/>
          <w:lang w:val="cs-CZ"/>
        </w:rPr>
        <w:t>2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val="cs-CZ"/>
        </w:rPr>
        <w:t>Mgr. Alena Kaĺavská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val="cs-CZ"/>
        </w:rPr>
        <w:t>ředitelka školy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Plán DVPP schválen pedagogickou radou dne: 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S plánem DVPP jsem byla seznámen</w:t>
      </w:r>
      <w:r>
        <w:rPr>
          <w:rFonts w:ascii="Times New Roman" w:hAnsi="Times New Roman"/>
          <w:sz w:val="24"/>
          <w:szCs w:val="24"/>
        </w:rPr>
        <w:t>a:</w:t>
      </w:r>
    </w:p>
    <w:sectPr>
      <w:headerReference w:type="default" r:id="rId3"/>
      <w:type w:val="nextPage"/>
      <w:pgSz w:w="12240" w:h="15840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MS Sans Serif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3722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MS Sans Serif" w:hAnsi="MS Sans Serif" w:eastAsia="Times New Roman" w:cs="Times New Roman"/>
      <w:color w:val="auto"/>
      <w:kern w:val="0"/>
      <w:sz w:val="20"/>
      <w:szCs w:val="20"/>
      <w:lang w:val="en-US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uiPriority w:val="99"/>
    <w:semiHidden/>
    <w:unhideWhenUsed/>
    <w:rsid w:val="00ac3722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94a71"/>
    <w:rPr>
      <w:rFonts w:ascii="Tahoma" w:hAnsi="Tahoma" w:eastAsia="Times New Roman" w:cs="Tahoma"/>
      <w:sz w:val="16"/>
      <w:szCs w:val="16"/>
      <w:lang w:eastAsia="cs-CZ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94a71"/>
    <w:rPr>
      <w:rFonts w:ascii="MS Sans Serif" w:hAnsi="MS Sans Serif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494a71"/>
    <w:rPr>
      <w:rFonts w:ascii="MS Sans Serif" w:hAnsi="MS Sans Serif" w:eastAsia="Times New Roman" w:cs="Times New Roman"/>
      <w:sz w:val="20"/>
      <w:szCs w:val="20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c372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94a71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94a71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494a71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Default" w:customStyle="1">
    <w:name w:val="Default"/>
    <w:qFormat/>
    <w:rsid w:val="006a2fc2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LibreOffice/7.0.1.2$Windows_X86_64 LibreOffice_project/7cbcfc562f6eb6708b5ff7d7397325de9e764452</Application>
  <Pages>2</Pages>
  <Words>415</Words>
  <Characters>2639</Characters>
  <CharactersWithSpaces>3253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2018-08-28T05:59:00Z</dcterms:created>
  <dc:creator>PC</dc:creator>
  <dc:description/>
  <dc:language>cs-CZ</dc:language>
  <cp:lastModifiedBy/>
  <cp:lastPrinted>2020-08-31T07:26:00Z</cp:lastPrinted>
  <dcterms:modified xsi:type="dcterms:W3CDTF">2022-08-25T10:13:55Z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